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564" w:rsidRDefault="00FA5564">
      <w:r>
        <w:t>Cvičenie DPH – Mechanizmus uplatnenia DPH v daňovom systéme SR</w:t>
      </w:r>
    </w:p>
    <w:p w:rsidR="00FA5564" w:rsidRDefault="00FA5564"/>
    <w:p w:rsidR="00FA5564" w:rsidRDefault="00FA5564"/>
    <w:p w:rsidR="0027495C" w:rsidRDefault="00FA5564">
      <w:r>
        <w:rPr>
          <w:noProof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322.8pt;margin-top:479.85pt;width:88.5pt;height:19.5pt;z-index:251696128" stroked="f">
            <v:textbox>
              <w:txbxContent>
                <w:p w:rsidR="00FA5564" w:rsidRDefault="00FA5564" w:rsidP="00FA5564">
                  <w:r>
                    <w:t>predaj tovaru</w:t>
                  </w:r>
                </w:p>
              </w:txbxContent>
            </v:textbox>
          </v:shape>
        </w:pict>
      </w:r>
      <w:r>
        <w:rPr>
          <w:noProof/>
          <w:lang w:eastAsia="sk-SK"/>
        </w:rPr>
        <w:pict>
          <v:shape id="_x0000_s1062" type="#_x0000_t202" style="position:absolute;margin-left:194.55pt;margin-top:372.4pt;width:45.85pt;height:48pt;z-index:251695104" stroked="f">
            <v:textbox>
              <w:txbxContent>
                <w:p w:rsidR="00FA5564" w:rsidRDefault="00FA5564" w:rsidP="00FA5564">
                  <w:r>
                    <w:t>platba za tovar</w:t>
                  </w:r>
                </w:p>
              </w:txbxContent>
            </v:textbox>
          </v:shape>
        </w:pict>
      </w:r>
      <w:r>
        <w:rPr>
          <w:noProof/>
          <w:lang w:eastAsia="sk-SK"/>
        </w:rPr>
        <w:pict>
          <v:shape id="_x0000_s1058" type="#_x0000_t202" style="position:absolute;margin-left:364.9pt;margin-top:289.2pt;width:64.5pt;height:26.25pt;z-index:251691008" stroked="f">
            <v:textbox>
              <w:txbxContent>
                <w:p w:rsidR="00FA5564" w:rsidRDefault="00FA5564" w:rsidP="00FA5564">
                  <w:r>
                    <w:t>kalkulácia</w:t>
                  </w:r>
                </w:p>
              </w:txbxContent>
            </v:textbox>
          </v:shape>
        </w:pict>
      </w:r>
      <w:r>
        <w:rPr>
          <w:noProof/>
          <w:lang w:eastAsia="sk-SK"/>
        </w:rPr>
        <w:pict>
          <v:shape id="_x0000_s1060" type="#_x0000_t202" style="position:absolute;margin-left:90.4pt;margin-top:187.9pt;width:88.5pt;height:19.5pt;z-index:251693056" stroked="f">
            <v:textbox>
              <w:txbxContent>
                <w:p w:rsidR="00FA5564" w:rsidRDefault="00FA5564" w:rsidP="00FA5564">
                  <w:r>
                    <w:t>úhrada faktúry</w:t>
                  </w:r>
                </w:p>
              </w:txbxContent>
            </v:textbox>
          </v:shape>
        </w:pict>
      </w:r>
      <w:r>
        <w:rPr>
          <w:noProof/>
          <w:lang w:eastAsia="sk-SK"/>
        </w:rPr>
        <w:pict>
          <v:shape id="_x0000_s1061" type="#_x0000_t202" style="position:absolute;margin-left:266.55pt;margin-top:253.15pt;width:88.5pt;height:19.5pt;z-index:251694080" stroked="f">
            <v:textbox>
              <w:txbxContent>
                <w:p w:rsidR="00FA5564" w:rsidRDefault="00FA5564" w:rsidP="00FA5564">
                  <w:r>
                    <w:t>predaj tovaru</w:t>
                  </w:r>
                </w:p>
              </w:txbxContent>
            </v:textbox>
          </v:shape>
        </w:pict>
      </w:r>
      <w:r>
        <w:rPr>
          <w:noProof/>
          <w:lang w:eastAsia="sk-SK"/>
        </w:rPr>
        <w:pict>
          <v:shape id="_x0000_s1059" type="#_x0000_t202" style="position:absolute;margin-left:35.55pt;margin-top:180.4pt;width:44.25pt;height:39.75pt;z-index:251692032" stroked="f">
            <v:textbox>
              <w:txbxContent>
                <w:p w:rsidR="00FA5564" w:rsidRDefault="00FA5564" w:rsidP="00FA5564">
                  <w:r>
                    <w:t>odvod DPH</w:t>
                  </w:r>
                </w:p>
              </w:txbxContent>
            </v:textbox>
          </v:shape>
        </w:pict>
      </w:r>
      <w:r>
        <w:rPr>
          <w:noProof/>
          <w:lang w:eastAsia="sk-SK"/>
        </w:rPr>
        <w:pict>
          <v:shape id="_x0000_s1055" type="#_x0000_t202" style="position:absolute;margin-left:79.8pt;margin-top:71.65pt;width:88.5pt;height:19.5pt;z-index:251687936" stroked="f">
            <v:textbox>
              <w:txbxContent>
                <w:p w:rsidR="002661FF" w:rsidRDefault="002661FF" w:rsidP="002661FF">
                  <w:r>
                    <w:t>úhrada faktúry</w:t>
                  </w:r>
                </w:p>
              </w:txbxContent>
            </v:textbox>
          </v:shape>
        </w:pict>
      </w:r>
      <w:r>
        <w:rPr>
          <w:noProof/>
          <w:lang w:eastAsia="sk-SK"/>
        </w:rPr>
        <w:pict>
          <v:shape id="_x0000_s1057" type="#_x0000_t202" style="position:absolute;margin-left:362.65pt;margin-top:127.15pt;width:90.75pt;height:31.5pt;z-index:251689984" stroked="f">
            <v:textbox>
              <w:txbxContent>
                <w:p w:rsidR="00FA5564" w:rsidRDefault="00FA5564" w:rsidP="00FA5564">
                  <w:pPr>
                    <w:spacing w:after="0" w:line="240" w:lineRule="auto"/>
                  </w:pPr>
                  <w:r>
                    <w:t>predaj tovaru</w:t>
                  </w:r>
                </w:p>
                <w:p w:rsidR="00FA5564" w:rsidRDefault="00FA5564" w:rsidP="00FA5564">
                  <w:pPr>
                    <w:spacing w:after="0" w:line="240" w:lineRule="auto"/>
                  </w:pPr>
                  <w:r>
                    <w:t>kalkulácia</w:t>
                  </w:r>
                </w:p>
              </w:txbxContent>
            </v:textbox>
          </v:shape>
        </w:pict>
      </w:r>
      <w:r>
        <w:rPr>
          <w:noProof/>
          <w:lang w:eastAsia="sk-SK"/>
        </w:rPr>
        <w:pict>
          <v:shape id="_x0000_s1056" type="#_x0000_t202" style="position:absolute;margin-left:13.9pt;margin-top:34.15pt;width:63.65pt;height:67.5pt;z-index:251688960" stroked="f">
            <v:textbox>
              <w:txbxContent>
                <w:p w:rsidR="00FA5564" w:rsidRDefault="00FA5564" w:rsidP="00FA5564">
                  <w:r>
                    <w:t>odvod DPH daňovému úradu</w:t>
                  </w:r>
                </w:p>
              </w:txbxContent>
            </v:textbox>
          </v:shape>
        </w:pict>
      </w:r>
      <w:r w:rsidR="002661FF">
        <w:rPr>
          <w:noProof/>
          <w:lang w:eastAsia="sk-SK"/>
        </w:rPr>
        <w:pict>
          <v:shape id="_x0000_s1054" type="#_x0000_t202" style="position:absolute;margin-left:288.4pt;margin-top:-10.85pt;width:90.75pt;height:19.5pt;z-index:251686912" stroked="f">
            <v:textbox>
              <w:txbxContent>
                <w:p w:rsidR="002661FF" w:rsidRDefault="002661FF">
                  <w:r>
                    <w:t>kalkulácia</w:t>
                  </w:r>
                </w:p>
              </w:txbxContent>
            </v:textbox>
          </v:shape>
        </w:pict>
      </w:r>
      <w:r w:rsidR="002661FF"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184.1pt;margin-top:337.15pt;width:.05pt;height:119.25pt;flip:y;z-index:251685888" o:connectortype="straight">
            <v:stroke endarrow="block"/>
          </v:shape>
        </w:pict>
      </w:r>
      <w:r w:rsidR="002661FF">
        <w:rPr>
          <w:noProof/>
          <w:lang w:eastAsia="sk-SK"/>
        </w:rPr>
        <w:pict>
          <v:shape id="_x0000_s1052" type="#_x0000_t32" style="position:absolute;margin-left:362.65pt;margin-top:414.4pt;width:0;height:60.8pt;flip:y;z-index:251684864" o:connectortype="straight"/>
        </w:pict>
      </w:r>
      <w:r w:rsidR="002661FF">
        <w:rPr>
          <w:noProof/>
          <w:lang w:eastAsia="sk-SK"/>
        </w:rPr>
        <w:pict>
          <v:shape id="_x0000_s1051" type="#_x0000_t32" style="position:absolute;margin-left:304.05pt;margin-top:475.15pt;width:58.6pt;height:.05pt;flip:x;z-index:251683840" o:connectortype="straight">
            <v:stroke endarrow="block"/>
          </v:shape>
        </w:pict>
      </w:r>
      <w:r w:rsidR="002661FF">
        <w:rPr>
          <w:noProof/>
          <w:lang w:eastAsia="sk-SK"/>
        </w:rPr>
        <w:pict>
          <v:rect id="_x0000_s1034" style="position:absolute;margin-left:124.05pt;margin-top:456.4pt;width:180pt;height:34.5pt;z-index:251666432">
            <v:textbox>
              <w:txbxContent>
                <w:p w:rsidR="00EE108B" w:rsidRPr="00EE108B" w:rsidRDefault="00EE108B" w:rsidP="00EE108B">
                  <w:pPr>
                    <w:jc w:val="center"/>
                    <w:rPr>
                      <w:b/>
                      <w:sz w:val="28"/>
                    </w:rPr>
                  </w:pPr>
                  <w:r w:rsidRPr="00EE108B">
                    <w:rPr>
                      <w:b/>
                      <w:sz w:val="28"/>
                    </w:rPr>
                    <w:t>SPOTREBITELIA</w:t>
                  </w:r>
                </w:p>
              </w:txbxContent>
            </v:textbox>
          </v:rect>
        </w:pict>
      </w:r>
      <w:r w:rsidR="002661FF">
        <w:rPr>
          <w:noProof/>
          <w:lang w:eastAsia="sk-SK"/>
        </w:rPr>
        <w:pict>
          <v:rect id="_x0000_s1033" style="position:absolute;margin-left:-11.7pt;margin-top:358.15pt;width:180pt;height:85.5pt;z-index:251665408">
            <v:textbox>
              <w:txbxContent>
                <w:p w:rsidR="00EE108B" w:rsidRPr="002661FF" w:rsidRDefault="002661FF" w:rsidP="002661F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2661FF">
                    <w:rPr>
                      <w:b/>
                    </w:rPr>
                    <w:t>BILANCIA DAŇOVÉHO ÚRADU</w:t>
                  </w:r>
                </w:p>
                <w:p w:rsidR="002661FF" w:rsidRDefault="002661FF" w:rsidP="002661FF">
                  <w:pPr>
                    <w:spacing w:after="0" w:line="240" w:lineRule="auto"/>
                  </w:pPr>
                  <w:r>
                    <w:t xml:space="preserve">Podnikateľ A </w:t>
                  </w:r>
                  <w:r>
                    <w:tab/>
                  </w:r>
                  <w:r>
                    <w:tab/>
                    <w:t>..................</w:t>
                  </w:r>
                </w:p>
                <w:p w:rsidR="002661FF" w:rsidRDefault="002661FF" w:rsidP="002661FF">
                  <w:pPr>
                    <w:spacing w:after="0" w:line="240" w:lineRule="auto"/>
                  </w:pPr>
                  <w:r>
                    <w:t xml:space="preserve">Podnikateľ B </w:t>
                  </w:r>
                  <w:r>
                    <w:tab/>
                  </w:r>
                  <w:r>
                    <w:tab/>
                    <w:t>..................</w:t>
                  </w:r>
                </w:p>
                <w:p w:rsidR="002661FF" w:rsidRDefault="002661FF" w:rsidP="002661FF">
                  <w:pPr>
                    <w:spacing w:after="0" w:line="240" w:lineRule="auto"/>
                  </w:pPr>
                  <w:r>
                    <w:t xml:space="preserve">Podnikateľ C </w:t>
                  </w:r>
                  <w:r>
                    <w:tab/>
                  </w:r>
                  <w:r>
                    <w:tab/>
                    <w:t>..................</w:t>
                  </w:r>
                </w:p>
                <w:p w:rsidR="002661FF" w:rsidRDefault="002661FF" w:rsidP="002661FF">
                  <w:pPr>
                    <w:spacing w:after="0" w:line="240" w:lineRule="auto"/>
                  </w:pPr>
                  <w:r>
                    <w:t xml:space="preserve">Spolu odvedená DPH </w:t>
                  </w:r>
                  <w:r>
                    <w:tab/>
                    <w:t>..................</w:t>
                  </w:r>
                </w:p>
              </w:txbxContent>
            </v:textbox>
          </v:rect>
        </w:pict>
      </w:r>
      <w:r w:rsidR="002661FF">
        <w:rPr>
          <w:noProof/>
          <w:lang w:eastAsia="sk-SK"/>
        </w:rPr>
        <w:pict>
          <v:shape id="_x0000_s1050" type="#_x0000_t32" style="position:absolute;margin-left:357.35pt;margin-top:244.9pt;width:.05pt;height:44.25pt;flip:x y;z-index:251682816" o:connectortype="straight"/>
        </w:pict>
      </w:r>
      <w:r w:rsidR="002661FF">
        <w:rPr>
          <w:noProof/>
          <w:lang w:eastAsia="sk-SK"/>
        </w:rPr>
        <w:pict>
          <v:shape id="_x0000_s1049" type="#_x0000_t32" style="position:absolute;margin-left:259.7pt;margin-top:289.15pt;width:97.65pt;height:.05pt;flip:x;z-index:251681792" o:connectortype="straight">
            <v:stroke endarrow="block"/>
          </v:shape>
        </w:pict>
      </w:r>
      <w:r w:rsidR="002661FF">
        <w:rPr>
          <w:noProof/>
          <w:lang w:eastAsia="sk-SK"/>
        </w:rPr>
        <w:pict>
          <v:shape id="_x0000_s1048" type="#_x0000_t32" style="position:absolute;margin-left:357.5pt;margin-top:303.4pt;width:0;height:19.5pt;z-index:251680768" o:connectortype="straight">
            <v:stroke endarrow="block"/>
          </v:shape>
        </w:pict>
      </w:r>
      <w:r w:rsidR="002661FF">
        <w:rPr>
          <w:noProof/>
          <w:lang w:eastAsia="sk-SK"/>
        </w:rPr>
        <w:pict>
          <v:shape id="_x0000_s1047" type="#_x0000_t32" style="position:absolute;margin-left:259.75pt;margin-top:304.15pt;width:97.6pt;height:0;z-index:251679744" o:connectortype="straight"/>
        </w:pict>
      </w:r>
      <w:r w:rsidR="002661FF">
        <w:rPr>
          <w:noProof/>
          <w:lang w:eastAsia="sk-SK"/>
        </w:rPr>
        <w:pict>
          <v:rect id="_x0000_s1032" style="position:absolute;margin-left:272.65pt;margin-top:322.9pt;width:180pt;height:91.5pt;z-index:251664384">
            <v:textbox>
              <w:txbxContent>
                <w:p w:rsidR="00EE108B" w:rsidRPr="00EE108B" w:rsidRDefault="00EE108B" w:rsidP="00EE108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EE108B">
                    <w:rPr>
                      <w:b/>
                    </w:rPr>
                    <w:t>KALKULÁCIA C</w:t>
                  </w:r>
                </w:p>
                <w:p w:rsidR="00EE108B" w:rsidRDefault="00EE108B" w:rsidP="00EE108B">
                  <w:pPr>
                    <w:spacing w:after="0" w:line="240" w:lineRule="auto"/>
                  </w:pPr>
                  <w:r>
                    <w:t xml:space="preserve">hodnota tovaru </w:t>
                  </w:r>
                  <w:r>
                    <w:tab/>
                    <w:t xml:space="preserve"> 15 000 eur</w:t>
                  </w:r>
                </w:p>
                <w:p w:rsidR="00EE108B" w:rsidRDefault="00EE108B" w:rsidP="00EE108B">
                  <w:pPr>
                    <w:spacing w:after="0" w:line="240" w:lineRule="auto"/>
                  </w:pPr>
                  <w:r>
                    <w:t>pridaná hodnota</w:t>
                  </w:r>
                  <w:r>
                    <w:tab/>
                    <w:t xml:space="preserve"> </w:t>
                  </w:r>
                  <w:r w:rsidRPr="002661FF">
                    <w:rPr>
                      <w:u w:val="single"/>
                    </w:rPr>
                    <w:t>10 000 eur</w:t>
                  </w:r>
                </w:p>
                <w:p w:rsidR="00EE108B" w:rsidRDefault="00EE108B" w:rsidP="00EE108B">
                  <w:pPr>
                    <w:spacing w:after="0" w:line="240" w:lineRule="auto"/>
                  </w:pPr>
                  <w:r>
                    <w:t>hodnota tovaru</w:t>
                  </w:r>
                  <w:r>
                    <w:tab/>
                  </w:r>
                  <w:r>
                    <w:tab/>
                    <w:t xml:space="preserve"> 25 000 eur</w:t>
                  </w:r>
                </w:p>
                <w:p w:rsidR="00EE108B" w:rsidRDefault="00EE108B" w:rsidP="00EE108B">
                  <w:pPr>
                    <w:spacing w:after="0" w:line="240" w:lineRule="auto"/>
                  </w:pPr>
                  <w:r>
                    <w:t>+ DPH 20 %</w:t>
                  </w:r>
                  <w:r>
                    <w:tab/>
                  </w:r>
                  <w:r>
                    <w:tab/>
                    <w:t xml:space="preserve"> ................</w:t>
                  </w:r>
                </w:p>
                <w:p w:rsidR="00EE108B" w:rsidRDefault="00EE108B" w:rsidP="00EE108B">
                  <w:pPr>
                    <w:spacing w:after="0" w:line="240" w:lineRule="auto"/>
                  </w:pPr>
                  <w:r>
                    <w:t>predajná cena s DPH</w:t>
                  </w:r>
                  <w:r>
                    <w:tab/>
                    <w:t xml:space="preserve"> ................</w:t>
                  </w:r>
                </w:p>
              </w:txbxContent>
            </v:textbox>
          </v:rect>
        </w:pict>
      </w:r>
      <w:r w:rsidR="002661FF">
        <w:rPr>
          <w:noProof/>
          <w:lang w:eastAsia="sk-SK"/>
        </w:rPr>
        <w:pict>
          <v:rect id="_x0000_s1031" style="position:absolute;margin-left:79.8pt;margin-top:272.65pt;width:180pt;height:64.5pt;z-index:251663360">
            <v:textbox>
              <w:txbxContent>
                <w:p w:rsidR="00EE108B" w:rsidRPr="002661FF" w:rsidRDefault="00EE108B" w:rsidP="002661F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2661FF">
                    <w:rPr>
                      <w:b/>
                    </w:rPr>
                    <w:t xml:space="preserve">Podnikateľ </w:t>
                  </w:r>
                  <w:r w:rsidR="002661FF" w:rsidRPr="002661FF">
                    <w:rPr>
                      <w:b/>
                    </w:rPr>
                    <w:t>C</w:t>
                  </w:r>
                </w:p>
                <w:p w:rsidR="00EE108B" w:rsidRDefault="002661FF" w:rsidP="002661FF">
                  <w:pPr>
                    <w:spacing w:after="0" w:line="240" w:lineRule="auto"/>
                    <w:jc w:val="center"/>
                  </w:pPr>
                  <w:r>
                    <w:t>predaj</w:t>
                  </w:r>
                  <w:r w:rsidR="00EE108B">
                    <w:t xml:space="preserve"> nábytku </w:t>
                  </w:r>
                  <w:r>
                    <w:t xml:space="preserve">spotrebiteľom </w:t>
                  </w:r>
                  <w:r w:rsidR="00EE108B">
                    <w:t xml:space="preserve">v hodnote </w:t>
                  </w:r>
                  <w:r>
                    <w:t>25</w:t>
                  </w:r>
                  <w:r w:rsidR="00EE108B">
                    <w:t> 000 eur</w:t>
                  </w:r>
                </w:p>
              </w:txbxContent>
            </v:textbox>
          </v:rect>
        </w:pict>
      </w:r>
      <w:r w:rsidR="002661FF">
        <w:rPr>
          <w:noProof/>
          <w:lang w:eastAsia="sk-SK"/>
        </w:rPr>
        <w:pict>
          <v:shape id="_x0000_s1046" type="#_x0000_t32" style="position:absolute;margin-left:184.15pt;margin-top:175.15pt;width:.05pt;height:97.5pt;flip:y;z-index:251678720" o:connectortype="straight">
            <v:stroke endarrow="block"/>
          </v:shape>
        </w:pict>
      </w:r>
      <w:r w:rsidR="002661FF">
        <w:rPr>
          <w:noProof/>
          <w:lang w:eastAsia="sk-SK"/>
        </w:rPr>
        <w:pict>
          <v:shape id="_x0000_s1045" type="#_x0000_t32" style="position:absolute;margin-left:29.65pt;margin-top:131.65pt;width:.05pt;height:93.8pt;z-index:251677696" o:connectortype="straight">
            <v:stroke endarrow="block"/>
          </v:shape>
        </w:pict>
      </w:r>
      <w:r w:rsidR="002661FF">
        <w:rPr>
          <w:noProof/>
          <w:lang w:eastAsia="sk-SK"/>
        </w:rPr>
        <w:pict>
          <v:shape id="_x0000_s1044" type="#_x0000_t32" style="position:absolute;margin-left:29.65pt;margin-top:131.65pt;width:50.15pt;height:.05pt;z-index:251676672" o:connectortype="straight"/>
        </w:pict>
      </w:r>
      <w:r w:rsidR="002661FF">
        <w:rPr>
          <w:noProof/>
          <w:lang w:eastAsia="sk-SK"/>
        </w:rPr>
        <w:pict>
          <v:shape id="_x0000_s1043" type="#_x0000_t32" style="position:absolute;margin-left:172.15pt;margin-top:51.4pt;width:0;height:59.25pt;flip:y;z-index:251675648" o:connectortype="straight">
            <v:stroke endarrow="block"/>
          </v:shape>
        </w:pict>
      </w:r>
      <w:r w:rsidR="002661FF">
        <w:rPr>
          <w:noProof/>
          <w:lang w:eastAsia="sk-SK"/>
        </w:rPr>
        <w:pict>
          <v:shape id="_x0000_s1035" type="#_x0000_t32" style="position:absolute;margin-left:266.55pt;margin-top:13.9pt;width:90.85pt;height:0;z-index:251667456" o:connectortype="straight"/>
        </w:pict>
      </w:r>
      <w:r w:rsidR="002661FF">
        <w:rPr>
          <w:noProof/>
          <w:lang w:eastAsia="sk-SK"/>
        </w:rPr>
        <w:pict>
          <v:shape id="_x0000_s1038" type="#_x0000_t32" style="position:absolute;margin-left:357.35pt;margin-top:13.9pt;width:.05pt;height:39.75pt;z-index:251670528" o:connectortype="straight">
            <v:stroke endarrow="block"/>
          </v:shape>
        </w:pict>
      </w:r>
      <w:r w:rsidR="002661FF">
        <w:rPr>
          <w:noProof/>
          <w:lang w:eastAsia="sk-SK"/>
        </w:rPr>
        <w:pict>
          <v:shape id="_x0000_s1042" type="#_x0000_t32" style="position:absolute;margin-left:357.45pt;margin-top:121.9pt;width:0;height:15.75pt;flip:y;z-index:251674624" o:connectortype="straight"/>
        </w:pict>
      </w:r>
      <w:r w:rsidR="002661FF">
        <w:rPr>
          <w:noProof/>
          <w:lang w:eastAsia="sk-SK"/>
        </w:rPr>
        <w:pict>
          <v:shape id="_x0000_s1041" type="#_x0000_t32" style="position:absolute;margin-left:259.8pt;margin-top:137.65pt;width:97.65pt;height:.05pt;flip:x;z-index:251673600" o:connectortype="straight">
            <v:stroke endarrow="block"/>
          </v:shape>
        </w:pict>
      </w:r>
      <w:r w:rsidR="002661FF">
        <w:rPr>
          <w:noProof/>
          <w:lang w:eastAsia="sk-SK"/>
        </w:rPr>
        <w:pict>
          <v:shape id="_x0000_s1040" type="#_x0000_t32" style="position:absolute;margin-left:357.45pt;margin-top:150.4pt;width:0;height:8.25pt;z-index:251672576" o:connectortype="straight">
            <v:stroke endarrow="block"/>
          </v:shape>
        </w:pict>
      </w:r>
      <w:r w:rsidR="002661FF">
        <w:rPr>
          <w:noProof/>
          <w:lang w:eastAsia="sk-SK"/>
        </w:rPr>
        <w:pict>
          <v:shape id="_x0000_s1039" type="#_x0000_t32" style="position:absolute;margin-left:259.8pt;margin-top:150.4pt;width:97.6pt;height:0;z-index:251671552" o:connectortype="straight"/>
        </w:pict>
      </w:r>
      <w:r w:rsidR="002661FF">
        <w:rPr>
          <w:noProof/>
          <w:lang w:eastAsia="sk-SK"/>
        </w:rPr>
        <w:pict>
          <v:shape id="_x0000_s1037" type="#_x0000_t32" style="position:absolute;margin-left:7.8pt;margin-top:19.15pt;width:0;height:206.25pt;z-index:251669504" o:connectortype="straight">
            <v:stroke endarrow="block"/>
          </v:shape>
        </w:pict>
      </w:r>
      <w:r w:rsidR="002661FF">
        <w:rPr>
          <w:noProof/>
          <w:lang w:eastAsia="sk-SK"/>
        </w:rPr>
        <w:pict>
          <v:shape id="_x0000_s1036" type="#_x0000_t32" style="position:absolute;margin-left:7.8pt;margin-top:19.15pt;width:78.75pt;height:.05pt;z-index:251668480" o:connectortype="straight"/>
        </w:pict>
      </w:r>
      <w:r w:rsidR="002661FF">
        <w:rPr>
          <w:noProof/>
          <w:lang w:eastAsia="sk-SK"/>
        </w:rPr>
        <w:pict>
          <v:rect id="_x0000_s1030" style="position:absolute;margin-left:-11.7pt;margin-top:225.4pt;width:180pt;height:30pt;z-index:251662336">
            <v:textbox>
              <w:txbxContent>
                <w:p w:rsidR="00EE108B" w:rsidRPr="002661FF" w:rsidRDefault="002661FF" w:rsidP="00EE108B">
                  <w:pPr>
                    <w:jc w:val="center"/>
                    <w:rPr>
                      <w:b/>
                      <w:sz w:val="32"/>
                    </w:rPr>
                  </w:pPr>
                  <w:r w:rsidRPr="002661FF">
                    <w:rPr>
                      <w:b/>
                      <w:sz w:val="32"/>
                    </w:rPr>
                    <w:t>DAŇOVÝ ÚRAD</w:t>
                  </w:r>
                </w:p>
              </w:txbxContent>
            </v:textbox>
          </v:rect>
        </w:pict>
      </w:r>
      <w:r w:rsidR="00EE108B">
        <w:rPr>
          <w:noProof/>
          <w:lang w:eastAsia="sk-SK"/>
        </w:rPr>
        <w:pict>
          <v:rect id="_x0000_s1029" style="position:absolute;margin-left:79.8pt;margin-top:110.65pt;width:180pt;height:64.5pt;z-index:251661312">
            <v:textbox>
              <w:txbxContent>
                <w:p w:rsidR="00EE108B" w:rsidRPr="002661FF" w:rsidRDefault="00EE108B" w:rsidP="002661F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2661FF">
                    <w:rPr>
                      <w:b/>
                    </w:rPr>
                    <w:t xml:space="preserve">Podnikateľ </w:t>
                  </w:r>
                  <w:r w:rsidR="002661FF" w:rsidRPr="002661FF">
                    <w:rPr>
                      <w:b/>
                    </w:rPr>
                    <w:t>B</w:t>
                  </w:r>
                </w:p>
                <w:p w:rsidR="00EE108B" w:rsidRDefault="00EE108B" w:rsidP="002661FF">
                  <w:pPr>
                    <w:spacing w:after="0" w:line="240" w:lineRule="auto"/>
                    <w:jc w:val="center"/>
                  </w:pPr>
                  <w:r>
                    <w:t>výroba nábytku v hodnote 1</w:t>
                  </w:r>
                  <w:r w:rsidR="002661FF">
                    <w:t>5</w:t>
                  </w:r>
                  <w:r>
                    <w:t> 000 eur</w:t>
                  </w:r>
                </w:p>
              </w:txbxContent>
            </v:textbox>
          </v:rect>
        </w:pict>
      </w:r>
      <w:r w:rsidR="00EE108B">
        <w:rPr>
          <w:noProof/>
          <w:lang w:eastAsia="sk-SK"/>
        </w:rPr>
        <w:pict>
          <v:rect id="_x0000_s1028" style="position:absolute;margin-left:272.65pt;margin-top:158.65pt;width:180pt;height:86.25pt;z-index:251660288">
            <v:textbox>
              <w:txbxContent>
                <w:p w:rsidR="00EE108B" w:rsidRPr="00EE108B" w:rsidRDefault="00EE108B" w:rsidP="00EE108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EE108B">
                    <w:rPr>
                      <w:b/>
                    </w:rPr>
                    <w:t>KALKULÁCIA B</w:t>
                  </w:r>
                </w:p>
                <w:p w:rsidR="00EE108B" w:rsidRDefault="00EE108B" w:rsidP="00EE108B">
                  <w:pPr>
                    <w:spacing w:after="0" w:line="240" w:lineRule="auto"/>
                  </w:pPr>
                  <w:r>
                    <w:t xml:space="preserve">hodnota tovaru </w:t>
                  </w:r>
                  <w:r>
                    <w:tab/>
                    <w:t xml:space="preserve"> 10 000 eur</w:t>
                  </w:r>
                </w:p>
                <w:p w:rsidR="00EE108B" w:rsidRPr="00EE108B" w:rsidRDefault="00EE108B" w:rsidP="00EE108B">
                  <w:pPr>
                    <w:spacing w:after="0" w:line="240" w:lineRule="auto"/>
                    <w:rPr>
                      <w:u w:val="single"/>
                    </w:rPr>
                  </w:pPr>
                  <w:r>
                    <w:t xml:space="preserve">pridaná hodnota </w:t>
                  </w:r>
                  <w:r>
                    <w:tab/>
                  </w:r>
                  <w:r w:rsidRPr="00EE108B">
                    <w:rPr>
                      <w:u w:val="single"/>
                    </w:rPr>
                    <w:t xml:space="preserve">   5 000 eur</w:t>
                  </w:r>
                </w:p>
                <w:p w:rsidR="00EE108B" w:rsidRDefault="00EE108B" w:rsidP="00EE108B">
                  <w:pPr>
                    <w:spacing w:after="0" w:line="240" w:lineRule="auto"/>
                  </w:pPr>
                  <w:r>
                    <w:t>hodnota tovaru</w:t>
                  </w:r>
                  <w:r>
                    <w:tab/>
                  </w:r>
                  <w:r>
                    <w:tab/>
                    <w:t xml:space="preserve"> 15 000 eur</w:t>
                  </w:r>
                </w:p>
                <w:p w:rsidR="00EE108B" w:rsidRDefault="00EE108B" w:rsidP="00EE108B">
                  <w:pPr>
                    <w:spacing w:after="0" w:line="240" w:lineRule="auto"/>
                  </w:pPr>
                  <w:r>
                    <w:t>+ DPH 20 %</w:t>
                  </w:r>
                  <w:r>
                    <w:tab/>
                  </w:r>
                  <w:r>
                    <w:tab/>
                    <w:t xml:space="preserve"> ................</w:t>
                  </w:r>
                </w:p>
                <w:p w:rsidR="00EE108B" w:rsidRDefault="00EE108B" w:rsidP="00EE108B">
                  <w:pPr>
                    <w:spacing w:after="0" w:line="240" w:lineRule="auto"/>
                  </w:pPr>
                  <w:r>
                    <w:t xml:space="preserve">predajná cena s DPH </w:t>
                  </w:r>
                  <w:r>
                    <w:tab/>
                    <w:t xml:space="preserve"> ................</w:t>
                  </w:r>
                </w:p>
              </w:txbxContent>
            </v:textbox>
          </v:rect>
        </w:pict>
      </w:r>
      <w:r w:rsidR="00EE108B">
        <w:rPr>
          <w:noProof/>
          <w:lang w:eastAsia="sk-SK"/>
        </w:rPr>
        <w:pict>
          <v:rect id="_x0000_s1027" style="position:absolute;margin-left:272.65pt;margin-top:56.65pt;width:180pt;height:65.25pt;z-index:251659264">
            <v:textbox>
              <w:txbxContent>
                <w:p w:rsidR="00EE108B" w:rsidRPr="00EE108B" w:rsidRDefault="00EE108B" w:rsidP="00EE108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EE108B">
                    <w:rPr>
                      <w:b/>
                    </w:rPr>
                    <w:t>KALKULÁCIA A</w:t>
                  </w:r>
                </w:p>
                <w:p w:rsidR="00EE108B" w:rsidRDefault="00EE108B" w:rsidP="00EE108B">
                  <w:pPr>
                    <w:spacing w:after="0" w:line="240" w:lineRule="auto"/>
                    <w:jc w:val="center"/>
                  </w:pPr>
                  <w:r>
                    <w:t>hodnota tovaru</w:t>
                  </w:r>
                  <w:r>
                    <w:tab/>
                  </w:r>
                  <w:r>
                    <w:tab/>
                    <w:t>10 000 eur</w:t>
                  </w:r>
                </w:p>
                <w:p w:rsidR="00EE108B" w:rsidRDefault="00EE108B" w:rsidP="00EE108B">
                  <w:pPr>
                    <w:spacing w:after="0" w:line="240" w:lineRule="auto"/>
                  </w:pPr>
                  <w:r>
                    <w:t xml:space="preserve">  + DPH 20%</w:t>
                  </w:r>
                  <w:r>
                    <w:tab/>
                  </w:r>
                  <w:r>
                    <w:tab/>
                    <w:t xml:space="preserve">  ................</w:t>
                  </w:r>
                </w:p>
                <w:p w:rsidR="00EE108B" w:rsidRDefault="00EE108B" w:rsidP="00EE108B">
                  <w:pPr>
                    <w:spacing w:after="0" w:line="240" w:lineRule="auto"/>
                  </w:pPr>
                  <w:r>
                    <w:t>predajná cena s DPH</w:t>
                  </w:r>
                  <w:r>
                    <w:tab/>
                    <w:t xml:space="preserve">  ................</w:t>
                  </w:r>
                </w:p>
              </w:txbxContent>
            </v:textbox>
          </v:rect>
        </w:pict>
      </w:r>
      <w:r w:rsidR="00EE108B">
        <w:rPr>
          <w:noProof/>
          <w:lang w:eastAsia="sk-SK"/>
        </w:rPr>
        <w:pict>
          <v:rect id="_x0000_s1026" style="position:absolute;margin-left:86.55pt;margin-top:1.9pt;width:180pt;height:49.5pt;z-index:251658240">
            <v:textbox>
              <w:txbxContent>
                <w:p w:rsidR="00EE108B" w:rsidRPr="002661FF" w:rsidRDefault="00EE108B" w:rsidP="00EE108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2661FF">
                    <w:rPr>
                      <w:b/>
                    </w:rPr>
                    <w:t>Podnikateľ A</w:t>
                  </w:r>
                </w:p>
                <w:p w:rsidR="00EE108B" w:rsidRDefault="00EE108B" w:rsidP="00EE108B">
                  <w:pPr>
                    <w:spacing w:after="0" w:line="240" w:lineRule="auto"/>
                    <w:jc w:val="center"/>
                  </w:pPr>
                  <w:r>
                    <w:t>výroba materiálu na výrobu nábytku v hodnote 10 000 eur</w:t>
                  </w:r>
                </w:p>
              </w:txbxContent>
            </v:textbox>
          </v:rect>
        </w:pict>
      </w:r>
    </w:p>
    <w:sectPr w:rsidR="0027495C" w:rsidSect="00274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108B"/>
    <w:rsid w:val="000734F3"/>
    <w:rsid w:val="002661FF"/>
    <w:rsid w:val="0027495C"/>
    <w:rsid w:val="004E6D91"/>
    <w:rsid w:val="00EE108B"/>
    <w:rsid w:val="00FA5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>
      <o:colormenu v:ext="edit" strokecolor="none"/>
    </o:shapedefaults>
    <o:shapelayout v:ext="edit">
      <o:idmap v:ext="edit" data="1"/>
      <o:rules v:ext="edit">
        <o:r id="V:Rule2" type="connector" idref="#_x0000_s1035"/>
        <o:r id="V:Rule3" type="connector" idref="#_x0000_s1036"/>
        <o:r id="V:Rule5" type="connector" idref="#_x0000_s1037"/>
        <o:r id="V:Rule6" type="connector" idref="#_x0000_s1038"/>
        <o:r id="V:Rule7" type="connector" idref="#_x0000_s1039"/>
        <o:r id="V:Rule8" type="connector" idref="#_x0000_s1040"/>
        <o:r id="V:Rule10" type="connector" idref="#_x0000_s1041"/>
        <o:r id="V:Rule12" type="connector" idref="#_x0000_s1042"/>
        <o:r id="V:Rule14" type="connector" idref="#_x0000_s1043"/>
        <o:r id="V:Rule15" type="connector" idref="#_x0000_s1044"/>
        <o:r id="V:Rule16" type="connector" idref="#_x0000_s1045"/>
        <o:r id="V:Rule17" type="connector" idref="#_x0000_s1046"/>
        <o:r id="V:Rule18" type="connector" idref="#_x0000_s1047"/>
        <o:r id="V:Rule19" type="connector" idref="#_x0000_s1048"/>
        <o:r id="V:Rule20" type="connector" idref="#_x0000_s1049"/>
        <o:r id="V:Rule22" type="connector" idref="#_x0000_s1050"/>
        <o:r id="V:Rule23" type="connector" idref="#_x0000_s1051"/>
        <o:r id="V:Rule25" type="connector" idref="#_x0000_s1052"/>
        <o:r id="V:Rule26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34F3"/>
  </w:style>
  <w:style w:type="paragraph" w:styleId="Nadpis1">
    <w:name w:val="heading 1"/>
    <w:basedOn w:val="Normlny"/>
    <w:next w:val="Normlny"/>
    <w:link w:val="Nadpis1Char"/>
    <w:uiPriority w:val="9"/>
    <w:qFormat/>
    <w:rsid w:val="000734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734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ekzoznamu">
    <w:name w:val="List Paragraph"/>
    <w:basedOn w:val="Normlny"/>
    <w:uiPriority w:val="34"/>
    <w:qFormat/>
    <w:rsid w:val="000734F3"/>
    <w:pPr>
      <w:ind w:left="720"/>
      <w:contextualSpacing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0734F3"/>
    <w:pPr>
      <w:outlineLvl w:val="9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E1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1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</dc:creator>
  <cp:lastModifiedBy>Peto</cp:lastModifiedBy>
  <cp:revision>1</cp:revision>
  <dcterms:created xsi:type="dcterms:W3CDTF">2013-03-10T15:50:00Z</dcterms:created>
  <dcterms:modified xsi:type="dcterms:W3CDTF">2013-03-10T16:17:00Z</dcterms:modified>
</cp:coreProperties>
</file>